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CF9D" w14:textId="77777777" w:rsidR="007D470E" w:rsidRPr="00762FD1" w:rsidRDefault="00762FD1" w:rsidP="00762FD1">
      <w:pPr>
        <w:jc w:val="center"/>
        <w:rPr>
          <w:rFonts w:ascii="Myriad Pro" w:hAnsi="Myriad Pro"/>
          <w:b/>
          <w:sz w:val="32"/>
          <w:szCs w:val="32"/>
        </w:rPr>
      </w:pPr>
      <w:r w:rsidRPr="00762FD1">
        <w:rPr>
          <w:rFonts w:ascii="Myriad Pro" w:hAnsi="Myriad Pro"/>
          <w:b/>
          <w:sz w:val="32"/>
          <w:szCs w:val="32"/>
        </w:rPr>
        <w:t>LONDON BOROUGH OF REDBRIDGE</w:t>
      </w:r>
    </w:p>
    <w:p w14:paraId="3DAE7F32" w14:textId="77777777" w:rsidR="00762FD1" w:rsidRPr="00762FD1" w:rsidRDefault="00762FD1" w:rsidP="00762FD1">
      <w:pPr>
        <w:jc w:val="center"/>
        <w:rPr>
          <w:rFonts w:ascii="Myriad Pro" w:hAnsi="Myriad Pro"/>
          <w:b/>
          <w:sz w:val="32"/>
          <w:szCs w:val="32"/>
        </w:rPr>
      </w:pPr>
      <w:r w:rsidRPr="00762FD1">
        <w:rPr>
          <w:rFonts w:ascii="Myriad Pro" w:hAnsi="Myriad Pro"/>
          <w:b/>
          <w:sz w:val="32"/>
          <w:szCs w:val="32"/>
        </w:rPr>
        <w:t>ANTI-SOCIAL BEHAVIOUR, CRIME &amp; POLICING ACT 2014</w:t>
      </w:r>
    </w:p>
    <w:p w14:paraId="6A526DBD" w14:textId="77777777" w:rsidR="00762FD1" w:rsidRDefault="00762FD1" w:rsidP="00762FD1">
      <w:pPr>
        <w:jc w:val="center"/>
        <w:rPr>
          <w:rFonts w:ascii="Myriad Pro" w:hAnsi="Myriad Pro"/>
          <w:b/>
          <w:sz w:val="32"/>
          <w:szCs w:val="32"/>
        </w:rPr>
      </w:pPr>
      <w:r w:rsidRPr="00762FD1">
        <w:rPr>
          <w:rFonts w:ascii="Myriad Pro" w:hAnsi="Myriad Pro"/>
          <w:b/>
          <w:sz w:val="32"/>
          <w:szCs w:val="32"/>
        </w:rPr>
        <w:t>Public Spaces Protection Order</w:t>
      </w:r>
    </w:p>
    <w:p w14:paraId="7748DDEC" w14:textId="2CD0236D" w:rsidR="00762FD1" w:rsidRPr="007E2B6C" w:rsidRDefault="00762FD1" w:rsidP="00762FD1">
      <w:pPr>
        <w:rPr>
          <w:rFonts w:ascii="Myriad Pro" w:hAnsi="Myriad Pro"/>
        </w:rPr>
      </w:pPr>
      <w:r w:rsidRPr="007E2B6C">
        <w:rPr>
          <w:rFonts w:ascii="Myriad Pro" w:hAnsi="Myriad Pro"/>
        </w:rPr>
        <w:t>The London Borough of Redbridge hereby makes the following Public Spaces Protection Order under Section 59-75 of the Anti-Social Behaviour, Crime and Policing Act 2014</w:t>
      </w:r>
      <w:r w:rsidR="006456A3" w:rsidRPr="007E2B6C">
        <w:rPr>
          <w:rFonts w:ascii="Myriad Pro" w:hAnsi="Myriad Pro"/>
        </w:rPr>
        <w:t>.</w:t>
      </w:r>
    </w:p>
    <w:p w14:paraId="47EBE29D" w14:textId="77777777" w:rsidR="006456A3" w:rsidRPr="007E2B6C" w:rsidRDefault="006456A3" w:rsidP="006456A3">
      <w:pPr>
        <w:jc w:val="both"/>
        <w:rPr>
          <w:rFonts w:ascii="Myriad Pro" w:hAnsi="Myriad Pro"/>
        </w:rPr>
      </w:pPr>
      <w:r w:rsidRPr="007E2B6C">
        <w:rPr>
          <w:rFonts w:ascii="Myriad Pro" w:hAnsi="Myriad Pro"/>
        </w:rPr>
        <w:t>Being satisfied on reasonable grounds that the activities as set out under paragraph 3 below, in the location specified in Schedule A of this Order, have had or are likely to have a detrimental effect on the quality of life of those in the locality, or it is likely that activities will be carried out within that area and have such an effect.</w:t>
      </w:r>
    </w:p>
    <w:p w14:paraId="3F618EF5" w14:textId="77777777" w:rsidR="006456A3" w:rsidRPr="007E2B6C" w:rsidRDefault="006456A3" w:rsidP="006456A3">
      <w:pPr>
        <w:jc w:val="both"/>
        <w:rPr>
          <w:rFonts w:ascii="Myriad Pro" w:hAnsi="Myriad Pro"/>
        </w:rPr>
      </w:pPr>
      <w:r w:rsidRPr="007E2B6C">
        <w:rPr>
          <w:rFonts w:ascii="Myriad Pro" w:hAnsi="Myriad Pro"/>
        </w:rPr>
        <w:t xml:space="preserve">The Council is also satisfied that the effect, or likely effect, of the activities is, or is likely to be, of a persistent or continuing nature, and these activities are unreasonable and justify the restrictions imposed by the notice and that it is in all the circumstances expedient to make this Order for the purpose of reducing anti-social behaviour in a public place. </w:t>
      </w:r>
    </w:p>
    <w:p w14:paraId="7489D30F" w14:textId="77777777" w:rsidR="006456A3" w:rsidRPr="007E2B6C" w:rsidRDefault="006456A3" w:rsidP="006456A3">
      <w:pPr>
        <w:pStyle w:val="ListParagraph"/>
        <w:numPr>
          <w:ilvl w:val="0"/>
          <w:numId w:val="1"/>
        </w:numPr>
        <w:ind w:left="714" w:hanging="357"/>
        <w:rPr>
          <w:rFonts w:ascii="Myriad Pro" w:hAnsi="Myriad Pro"/>
          <w:b/>
        </w:rPr>
      </w:pPr>
      <w:bookmarkStart w:id="0" w:name="_Hlk7016896"/>
      <w:r w:rsidRPr="007E2B6C">
        <w:rPr>
          <w:rFonts w:ascii="Myriad Pro" w:hAnsi="Myriad Pro"/>
          <w:b/>
        </w:rPr>
        <w:t xml:space="preserve">This Order </w:t>
      </w:r>
      <w:r w:rsidRPr="007E2B6C">
        <w:rPr>
          <w:rFonts w:ascii="Myriad Pro" w:hAnsi="Myriad Pro"/>
        </w:rPr>
        <w:t>applies to the land specified in the Schedule A below.</w:t>
      </w:r>
      <w:bookmarkEnd w:id="0"/>
    </w:p>
    <w:p w14:paraId="6672ED51" w14:textId="77777777" w:rsidR="006456A3" w:rsidRPr="007E2B6C" w:rsidRDefault="006456A3" w:rsidP="006456A3">
      <w:pPr>
        <w:pStyle w:val="ListParagraph"/>
        <w:ind w:left="714"/>
        <w:rPr>
          <w:rFonts w:ascii="Myriad Pro" w:hAnsi="Myriad Pro"/>
          <w:b/>
        </w:rPr>
      </w:pPr>
    </w:p>
    <w:p w14:paraId="62073AD4" w14:textId="3ED36440" w:rsidR="006456A3" w:rsidRPr="007E2B6C" w:rsidRDefault="006456A3" w:rsidP="006456A3">
      <w:pPr>
        <w:pStyle w:val="ListParagraph"/>
        <w:numPr>
          <w:ilvl w:val="0"/>
          <w:numId w:val="1"/>
        </w:numPr>
        <w:rPr>
          <w:rFonts w:ascii="Myriad Pro" w:hAnsi="Myriad Pro"/>
          <w:b/>
        </w:rPr>
      </w:pPr>
      <w:r w:rsidRPr="007E2B6C">
        <w:rPr>
          <w:rFonts w:ascii="Myriad Pro" w:hAnsi="Myriad Pro"/>
          <w:b/>
        </w:rPr>
        <w:t xml:space="preserve">This Order </w:t>
      </w:r>
      <w:r w:rsidRPr="007E2B6C">
        <w:rPr>
          <w:rFonts w:ascii="Myriad Pro" w:hAnsi="Myriad Pro"/>
        </w:rPr>
        <w:t>comes into force at 00:01 am on the</w:t>
      </w:r>
      <w:r w:rsidR="007D470E">
        <w:rPr>
          <w:rFonts w:ascii="Myriad Pro" w:hAnsi="Myriad Pro"/>
        </w:rPr>
        <w:t xml:space="preserve"> 20</w:t>
      </w:r>
      <w:r w:rsidR="007D470E" w:rsidRPr="007D470E">
        <w:rPr>
          <w:rFonts w:ascii="Myriad Pro" w:hAnsi="Myriad Pro"/>
          <w:vertAlign w:val="superscript"/>
        </w:rPr>
        <w:t>th</w:t>
      </w:r>
      <w:r w:rsidR="007D470E">
        <w:rPr>
          <w:rFonts w:ascii="Myriad Pro" w:hAnsi="Myriad Pro"/>
        </w:rPr>
        <w:t xml:space="preserve"> February 2026 </w:t>
      </w:r>
      <w:r w:rsidRPr="007E2B6C">
        <w:rPr>
          <w:rFonts w:ascii="Myriad Pro" w:hAnsi="Myriad Pro"/>
        </w:rPr>
        <w:t>and will remain in force for a period of three years, unless extended by further orders under the Council’s statutory powers.</w:t>
      </w:r>
    </w:p>
    <w:p w14:paraId="4A68C143" w14:textId="77777777" w:rsidR="006456A3" w:rsidRPr="007E2B6C" w:rsidRDefault="006456A3" w:rsidP="006456A3">
      <w:pPr>
        <w:ind w:left="360"/>
        <w:rPr>
          <w:rFonts w:ascii="Myriad Pro" w:hAnsi="Myriad Pro"/>
          <w:b/>
        </w:rPr>
      </w:pPr>
      <w:r w:rsidRPr="007E2B6C">
        <w:rPr>
          <w:rFonts w:ascii="Myriad Pro" w:hAnsi="Myriad Pro"/>
        </w:rPr>
        <w:t>The London Borough of Redbridge herby requires by way of this Order that:</w:t>
      </w:r>
    </w:p>
    <w:p w14:paraId="3B7C472F" w14:textId="1C27F153" w:rsidR="00D752C5" w:rsidRPr="007E2B6C" w:rsidRDefault="006456A3" w:rsidP="00D752C5">
      <w:pPr>
        <w:pStyle w:val="ListParagraph"/>
        <w:numPr>
          <w:ilvl w:val="0"/>
          <w:numId w:val="1"/>
        </w:numPr>
        <w:rPr>
          <w:rFonts w:ascii="Myriad Pro" w:hAnsi="Myriad Pro"/>
          <w:b/>
        </w:rPr>
      </w:pPr>
      <w:r w:rsidRPr="007E2B6C">
        <w:rPr>
          <w:rFonts w:ascii="Myriad Pro" w:hAnsi="Myriad Pro"/>
          <w:b/>
        </w:rPr>
        <w:t>A person shall be guilty of an offence</w:t>
      </w:r>
      <w:r w:rsidRPr="007E2B6C">
        <w:rPr>
          <w:rFonts w:ascii="Myriad Pro" w:hAnsi="Myriad Pro"/>
        </w:rPr>
        <w:t>, if at any time, on land to which this Order applies, performs any of the following activities:</w:t>
      </w:r>
    </w:p>
    <w:p w14:paraId="17237241" w14:textId="77777777" w:rsidR="00D752C5" w:rsidRPr="007E2B6C" w:rsidRDefault="00D752C5" w:rsidP="00D752C5">
      <w:pPr>
        <w:pStyle w:val="ListParagraph"/>
        <w:rPr>
          <w:rFonts w:ascii="Myriad Pro" w:hAnsi="Myriad Pro"/>
          <w:b/>
        </w:rPr>
      </w:pPr>
    </w:p>
    <w:p w14:paraId="47661821"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Consuming alcohol in public places – refusing to stop drinking alcohol or to surrender unsealed containers believed to contain alcohol when requested to do so by an authorised person.</w:t>
      </w:r>
    </w:p>
    <w:p w14:paraId="6B2A933F" w14:textId="77777777" w:rsidR="00D752C5" w:rsidRPr="007E2B6C" w:rsidRDefault="00D752C5" w:rsidP="00D752C5">
      <w:pPr>
        <w:pStyle w:val="ListParagraph"/>
        <w:spacing w:after="0" w:line="240" w:lineRule="auto"/>
        <w:ind w:left="1760"/>
        <w:rPr>
          <w:rFonts w:ascii="Myriad Pro" w:hAnsi="Myriad Pro"/>
        </w:rPr>
      </w:pPr>
    </w:p>
    <w:p w14:paraId="543699D2"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Urinating or defecating in a public place. This includes the doorway or alcove of any premises.</w:t>
      </w:r>
    </w:p>
    <w:p w14:paraId="4DB7E195" w14:textId="77777777" w:rsidR="00D752C5" w:rsidRPr="007E2B6C" w:rsidRDefault="00D752C5" w:rsidP="00D752C5">
      <w:pPr>
        <w:pStyle w:val="ListParagraph"/>
        <w:rPr>
          <w:rFonts w:ascii="Myriad Pro" w:hAnsi="Myriad Pro"/>
        </w:rPr>
      </w:pPr>
    </w:p>
    <w:p w14:paraId="44921D21"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Performing street entertainment in more than one designated area within a 24-hour period, performing street entertainment for more than 4 hours, performing street entertainment outside of 08.00 to 20.00 hrs, performing street entertainment that causes an obstruction or public nuisance, refusing to act on the reasonable instruction of an authorised person based on their assessment that the street entertainment is causing an obstruction or public nuisance.</w:t>
      </w:r>
    </w:p>
    <w:p w14:paraId="3474610B" w14:textId="77777777" w:rsidR="00D752C5" w:rsidRPr="007E2B6C" w:rsidRDefault="00D752C5" w:rsidP="00D752C5">
      <w:pPr>
        <w:pStyle w:val="ListParagraph"/>
        <w:rPr>
          <w:rFonts w:ascii="Myriad Pro" w:hAnsi="Myriad Pro"/>
        </w:rPr>
      </w:pPr>
    </w:p>
    <w:p w14:paraId="4D49989C"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A person(s) congregating in a group of two or more people in such a manner as to cause or likely to cause nuisance, harassment, alarm or distress, refusing to leave an area when requested to do so by an authorised officer. Without good reason, a person(s) returning to an area within a 24-hour period after being requested to leave by an authorised officer</w:t>
      </w:r>
    </w:p>
    <w:p w14:paraId="1B706AB9" w14:textId="77777777" w:rsidR="00D752C5" w:rsidRPr="007E2B6C" w:rsidRDefault="00D752C5" w:rsidP="00D752C5">
      <w:pPr>
        <w:pStyle w:val="ListParagraph"/>
        <w:rPr>
          <w:rFonts w:ascii="Myriad Pro" w:hAnsi="Myriad Pro"/>
        </w:rPr>
      </w:pPr>
    </w:p>
    <w:p w14:paraId="0E4D4327" w14:textId="21572962"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Fundraising may only take place in th</w:t>
      </w:r>
      <w:r w:rsidR="006908CF">
        <w:rPr>
          <w:rFonts w:ascii="Myriad Pro" w:hAnsi="Myriad Pro"/>
        </w:rPr>
        <w:t>e designated areas</w:t>
      </w:r>
      <w:r w:rsidRPr="007E2B6C">
        <w:rPr>
          <w:rFonts w:ascii="Myriad Pro" w:hAnsi="Myriad Pro"/>
        </w:rPr>
        <w:t xml:space="preserve">. No more than 3 fundraisers are permitted within each designated area. Fundraisers are only permitted to operate on 3 non-consecutive days within a 7-day period. No person shall fundraise in a way that causes an obstruction or nuisance to nearby premises or members of the public. </w:t>
      </w:r>
    </w:p>
    <w:p w14:paraId="4515FAFF" w14:textId="77777777" w:rsidR="00D752C5" w:rsidRPr="007E2B6C" w:rsidRDefault="00D752C5" w:rsidP="00D752C5">
      <w:pPr>
        <w:pStyle w:val="ListParagraph"/>
        <w:rPr>
          <w:rFonts w:ascii="Myriad Pro" w:hAnsi="Myriad Pro"/>
        </w:rPr>
      </w:pPr>
    </w:p>
    <w:p w14:paraId="6FA2838B"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No person shall beg. This includes begging near a cash machine or begging in a manner reasonably perceived to be intimidating or aggressive.</w:t>
      </w:r>
    </w:p>
    <w:p w14:paraId="489D5DD6" w14:textId="77777777" w:rsidR="00D752C5" w:rsidRPr="007E2B6C" w:rsidRDefault="00D752C5" w:rsidP="00D752C5">
      <w:pPr>
        <w:pStyle w:val="ListParagraph"/>
        <w:rPr>
          <w:rFonts w:ascii="Myriad Pro" w:hAnsi="Myriad Pro"/>
        </w:rPr>
      </w:pPr>
    </w:p>
    <w:p w14:paraId="51DF8367"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 xml:space="preserve">No person shall at any time engage in any prohibited activities mentioned: Street Gambling – this includes playing of a game of chance for winnings in money or money’s worth, whether any person playing is at risk of losing any money or not. Street Gaming – this includes frequenting or loitering in the street within the restricted area either on his/her own behalf or </w:t>
      </w:r>
      <w:r w:rsidRPr="007E2B6C">
        <w:rPr>
          <w:rFonts w:ascii="Myriad Pro" w:hAnsi="Myriad Pro"/>
        </w:rPr>
        <w:lastRenderedPageBreak/>
        <w:t>on the behalf of someone else, for the purpose of betting, agreeing to bet, or paying, receiving, or settling bets, or assisting others to do so. This includes pretended games of chance where in reality there is no chance to win.</w:t>
      </w:r>
    </w:p>
    <w:p w14:paraId="06C0ECD9" w14:textId="77777777" w:rsidR="00D752C5" w:rsidRPr="007E2B6C" w:rsidRDefault="00D752C5" w:rsidP="00D752C5">
      <w:pPr>
        <w:pStyle w:val="ListParagraph"/>
        <w:rPr>
          <w:rFonts w:ascii="Myriad Pro" w:hAnsi="Myriad Pro"/>
        </w:rPr>
      </w:pPr>
    </w:p>
    <w:p w14:paraId="29AEF91D"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No person should affix or distribute any forms of advertising in the restricted area. This includes the advertisements for those offering personal services, including the advertisement of telephone numbers.</w:t>
      </w:r>
    </w:p>
    <w:p w14:paraId="38979CBC" w14:textId="77777777" w:rsidR="00D752C5" w:rsidRPr="007E2B6C" w:rsidRDefault="00D752C5" w:rsidP="00D752C5">
      <w:pPr>
        <w:pStyle w:val="ListParagraph"/>
        <w:rPr>
          <w:rFonts w:ascii="Myriad Pro" w:hAnsi="Myriad Pro"/>
        </w:rPr>
      </w:pPr>
    </w:p>
    <w:p w14:paraId="16FFBDCD" w14:textId="77777777"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Refusing to stop and dismount from a bicycle, scooter, E-bike and/or E-scooter or similar when requested to do so by an authorised person acting on the reasonable belief that the riding is dangerous, careless or inconsiderate towards members of the public.</w:t>
      </w:r>
    </w:p>
    <w:p w14:paraId="6C211ED6" w14:textId="77777777" w:rsidR="00D752C5" w:rsidRPr="007E2B6C" w:rsidRDefault="00D752C5" w:rsidP="00D752C5">
      <w:pPr>
        <w:pStyle w:val="ListParagraph"/>
        <w:rPr>
          <w:rFonts w:ascii="Myriad Pro" w:hAnsi="Myriad Pro"/>
        </w:rPr>
      </w:pPr>
    </w:p>
    <w:p w14:paraId="1AE35A2D" w14:textId="320F7B73" w:rsidR="00D752C5" w:rsidRPr="007E2B6C" w:rsidRDefault="00D752C5" w:rsidP="00D752C5">
      <w:pPr>
        <w:pStyle w:val="ListParagraph"/>
        <w:numPr>
          <w:ilvl w:val="0"/>
          <w:numId w:val="4"/>
        </w:numPr>
        <w:spacing w:after="0" w:line="240" w:lineRule="auto"/>
        <w:rPr>
          <w:rFonts w:ascii="Myriad Pro" w:hAnsi="Myriad Pro"/>
        </w:rPr>
      </w:pPr>
      <w:r w:rsidRPr="007E2B6C">
        <w:rPr>
          <w:rFonts w:ascii="Myriad Pro" w:hAnsi="Myriad Pro"/>
        </w:rPr>
        <w:t>Any person(s) who uses a face covering to conceal or partially conceal their identity to cause harassment, alarm or distress to any person; this includes scarves, balaclavas and masks. </w:t>
      </w:r>
      <w:r w:rsidRPr="007E2B6C">
        <w:rPr>
          <w:rFonts w:ascii="Myriad Pro" w:hAnsi="Myriad Pro"/>
          <w:b/>
          <w:bCs/>
        </w:rPr>
        <w:t>This clause does not include face coverings worn in respect of religious or cultural beliefs and/or for medical reasons.</w:t>
      </w:r>
    </w:p>
    <w:p w14:paraId="3FBBFE06" w14:textId="77777777" w:rsidR="0025766F" w:rsidRPr="007E2B6C" w:rsidRDefault="0025766F" w:rsidP="00762FD1">
      <w:pPr>
        <w:rPr>
          <w:rFonts w:ascii="Myriad Pro" w:hAnsi="Myriad Pro"/>
        </w:rPr>
      </w:pPr>
    </w:p>
    <w:p w14:paraId="50DABD6B" w14:textId="77777777" w:rsidR="0025766F" w:rsidRPr="007E2B6C" w:rsidRDefault="0025766F" w:rsidP="00762FD1">
      <w:pPr>
        <w:rPr>
          <w:rFonts w:ascii="Myriad Pro" w:hAnsi="Myriad Pro"/>
          <w:b/>
          <w:bCs/>
        </w:rPr>
      </w:pPr>
      <w:r w:rsidRPr="007E2B6C">
        <w:rPr>
          <w:rFonts w:ascii="Myriad Pro" w:hAnsi="Myriad Pro"/>
          <w:b/>
          <w:bCs/>
        </w:rPr>
        <w:t xml:space="preserve">Offences under this Public Space Protection Order </w:t>
      </w:r>
    </w:p>
    <w:p w14:paraId="3C0644F1" w14:textId="77777777" w:rsidR="0025766F" w:rsidRPr="007E2B6C" w:rsidRDefault="0025766F" w:rsidP="00762FD1">
      <w:pPr>
        <w:rPr>
          <w:rFonts w:ascii="Myriad Pro" w:hAnsi="Myriad Pro"/>
        </w:rPr>
      </w:pPr>
      <w:r w:rsidRPr="007E2B6C">
        <w:rPr>
          <w:rFonts w:ascii="Myriad Pro" w:hAnsi="Myriad Pro"/>
        </w:rPr>
        <w:t xml:space="preserve">Any person who, without reasonable excuse, fails to comply with the terms of the Order is guilty of an offence and shall be liable on summary conviction to a fine not exceeding level 3 on a standard scale. </w:t>
      </w:r>
    </w:p>
    <w:p w14:paraId="3EA06223" w14:textId="77777777" w:rsidR="0025766F" w:rsidRPr="007E2B6C" w:rsidRDefault="0025766F" w:rsidP="00762FD1">
      <w:pPr>
        <w:rPr>
          <w:rFonts w:ascii="Myriad Pro" w:hAnsi="Myriad Pro"/>
        </w:rPr>
      </w:pPr>
      <w:r w:rsidRPr="007E2B6C">
        <w:rPr>
          <w:rFonts w:ascii="Myriad Pro" w:hAnsi="Myriad Pro"/>
        </w:rPr>
        <w:t xml:space="preserve">A police constable, a Police Community Support Officer, an authorised council officer or persons authorised by the council may issue a Fixed Penalty Notice to any persons they have reason to believe has committed an offence. (S.68) </w:t>
      </w:r>
    </w:p>
    <w:p w14:paraId="52580596" w14:textId="353B7145" w:rsidR="0025766F" w:rsidRPr="007E2B6C" w:rsidRDefault="0025766F" w:rsidP="00762FD1">
      <w:pPr>
        <w:rPr>
          <w:rFonts w:ascii="Myriad Pro" w:hAnsi="Myriad Pro"/>
        </w:rPr>
      </w:pPr>
      <w:r w:rsidRPr="007E2B6C">
        <w:rPr>
          <w:rFonts w:ascii="Myriad Pro" w:hAnsi="Myriad Pro"/>
        </w:rPr>
        <w:t>A Fixed Penalty Notice of £100.00 will be issued to offenders. Payment of the Fixed Penalty Notice will discharge any liability to conviction for an offence under Section 67 (1) of the Act. If the fine is unpaid or this matter is pursued through the court instead, this can result in a fine up to £1000.</w:t>
      </w:r>
    </w:p>
    <w:p w14:paraId="25676175" w14:textId="23F4E9E6" w:rsidR="0025766F" w:rsidRPr="007D470E" w:rsidRDefault="0025766F" w:rsidP="00762FD1">
      <w:pPr>
        <w:rPr>
          <w:rFonts w:ascii="Myriad Pro" w:hAnsi="Myriad Pro"/>
        </w:rPr>
      </w:pPr>
      <w:r w:rsidRPr="007E2B6C">
        <w:rPr>
          <w:rFonts w:ascii="Myriad Pro" w:hAnsi="Myriad Pro"/>
        </w:rPr>
        <w:t xml:space="preserve">The Order may be cited as the London Borough of Redbridge Ilford Town Centre, Valentines, Cranbrook, Loxford, Clementswood and Barkingside Wards Public Space Protection Order and shall come into force on </w:t>
      </w:r>
      <w:r w:rsidR="007D470E">
        <w:rPr>
          <w:rFonts w:ascii="Myriad Pro" w:hAnsi="Myriad Pro"/>
        </w:rPr>
        <w:t>20</w:t>
      </w:r>
      <w:r w:rsidR="007D470E" w:rsidRPr="007D470E">
        <w:rPr>
          <w:rFonts w:ascii="Myriad Pro" w:hAnsi="Myriad Pro"/>
          <w:vertAlign w:val="superscript"/>
        </w:rPr>
        <w:t>th</w:t>
      </w:r>
      <w:r w:rsidR="007D470E">
        <w:rPr>
          <w:rFonts w:ascii="Myriad Pro" w:hAnsi="Myriad Pro"/>
        </w:rPr>
        <w:t xml:space="preserve"> February 2026 </w:t>
      </w:r>
      <w:r w:rsidRPr="007E2B6C">
        <w:rPr>
          <w:rFonts w:ascii="Myriad Pro" w:hAnsi="Myriad Pro"/>
        </w:rPr>
        <w:t xml:space="preserve">and remain in force for a period of three years until </w:t>
      </w:r>
      <w:r w:rsidR="007D470E">
        <w:rPr>
          <w:rFonts w:ascii="Myriad Pro" w:hAnsi="Myriad Pro"/>
        </w:rPr>
        <w:t>19</w:t>
      </w:r>
      <w:r w:rsidR="007D470E" w:rsidRPr="007D470E">
        <w:rPr>
          <w:rFonts w:ascii="Myriad Pro" w:hAnsi="Myriad Pro"/>
          <w:vertAlign w:val="superscript"/>
        </w:rPr>
        <w:t>th</w:t>
      </w:r>
      <w:r w:rsidR="007D470E">
        <w:rPr>
          <w:rFonts w:ascii="Myriad Pro" w:hAnsi="Myriad Pro"/>
        </w:rPr>
        <w:t xml:space="preserve"> February 2029.</w:t>
      </w:r>
    </w:p>
    <w:p w14:paraId="033655A9" w14:textId="77777777" w:rsidR="0025766F" w:rsidRPr="007E2B6C" w:rsidRDefault="0025766F" w:rsidP="00762FD1">
      <w:pPr>
        <w:rPr>
          <w:rFonts w:ascii="Myriad Pro" w:hAnsi="Myriad Pro"/>
          <w:b/>
          <w:bCs/>
        </w:rPr>
      </w:pPr>
      <w:r w:rsidRPr="007E2B6C">
        <w:rPr>
          <w:rFonts w:ascii="Myriad Pro" w:hAnsi="Myriad Pro"/>
          <w:b/>
          <w:bCs/>
        </w:rPr>
        <w:t xml:space="preserve">Schedule A </w:t>
      </w:r>
    </w:p>
    <w:p w14:paraId="74138D45" w14:textId="11269B17" w:rsidR="0025766F" w:rsidRPr="007E2B6C" w:rsidRDefault="0025766F" w:rsidP="00762FD1">
      <w:pPr>
        <w:rPr>
          <w:rFonts w:ascii="Myriad Pro" w:hAnsi="Myriad Pro"/>
        </w:rPr>
      </w:pPr>
      <w:r w:rsidRPr="007E2B6C">
        <w:rPr>
          <w:rFonts w:ascii="Myriad Pro" w:hAnsi="Myriad Pro"/>
        </w:rPr>
        <w:t xml:space="preserve">This order will apply to The London Borough of Redbridge Spaces Protection Order (PSPO) which will cover six wards within the Borough: Valentines, Clementswood, Loxford, Cranbrook, Barkingside, and Ilford Town. </w:t>
      </w:r>
    </w:p>
    <w:p w14:paraId="0217F4BE" w14:textId="2D1F8D0C" w:rsidR="006456A3" w:rsidRPr="0025766F" w:rsidRDefault="0025766F" w:rsidP="00762FD1">
      <w:pPr>
        <w:rPr>
          <w:rFonts w:ascii="Myriad Pro" w:hAnsi="Myriad Pro"/>
        </w:rPr>
      </w:pPr>
      <w:r w:rsidRPr="007E2B6C">
        <w:rPr>
          <w:rFonts w:ascii="Myriad Pro" w:hAnsi="Myriad Pro"/>
        </w:rPr>
        <w:t>The order will cover all highways, including all roads, footways, footpaths, alleyways, and grass verges, as well as any parks or public open</w:t>
      </w:r>
      <w:r>
        <w:rPr>
          <w:rFonts w:ascii="Myriad Pro" w:hAnsi="Myriad Pro"/>
        </w:rPr>
        <w:t xml:space="preserve"> spaces</w:t>
      </w:r>
      <w:r w:rsidRPr="0025766F">
        <w:rPr>
          <w:rFonts w:ascii="Myriad Pro" w:hAnsi="Myriad Pro"/>
        </w:rPr>
        <w:t xml:space="preserve"> within the six wards above.</w:t>
      </w:r>
    </w:p>
    <w:sectPr w:rsidR="006456A3" w:rsidRPr="0025766F" w:rsidSect="007E2B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3D27"/>
    <w:multiLevelType w:val="hybridMultilevel"/>
    <w:tmpl w:val="11C8841E"/>
    <w:lvl w:ilvl="0" w:tplc="08090001">
      <w:start w:val="1"/>
      <w:numFmt w:val="bullet"/>
      <w:lvlText w:val=""/>
      <w:lvlJc w:val="left"/>
      <w:pPr>
        <w:ind w:left="1898" w:hanging="360"/>
      </w:pPr>
      <w:rPr>
        <w:rFonts w:ascii="Symbol" w:hAnsi="Symbol" w:hint="default"/>
      </w:rPr>
    </w:lvl>
    <w:lvl w:ilvl="1" w:tplc="08090001">
      <w:start w:val="1"/>
      <w:numFmt w:val="bullet"/>
      <w:lvlText w:val=""/>
      <w:lvlJc w:val="left"/>
      <w:pPr>
        <w:ind w:left="2618" w:hanging="360"/>
      </w:pPr>
      <w:rPr>
        <w:rFonts w:ascii="Symbol" w:hAnsi="Symbol"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1" w15:restartNumberingAfterBreak="0">
    <w:nsid w:val="110D574D"/>
    <w:multiLevelType w:val="hybridMultilevel"/>
    <w:tmpl w:val="85103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71FFE"/>
    <w:multiLevelType w:val="hybridMultilevel"/>
    <w:tmpl w:val="AE22E0F2"/>
    <w:lvl w:ilvl="0" w:tplc="3C46AEF6">
      <w:start w:val="1"/>
      <w:numFmt w:val="lowerRoman"/>
      <w:lvlText w:val="(%1)"/>
      <w:lvlJc w:val="left"/>
      <w:pPr>
        <w:ind w:left="1760" w:hanging="72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6F24137D"/>
    <w:multiLevelType w:val="hybridMultilevel"/>
    <w:tmpl w:val="8B2813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9624780">
    <w:abstractNumId w:val="1"/>
  </w:num>
  <w:num w:numId="2" w16cid:durableId="1256669043">
    <w:abstractNumId w:val="3"/>
  </w:num>
  <w:num w:numId="3" w16cid:durableId="201990214">
    <w:abstractNumId w:val="0"/>
  </w:num>
  <w:num w:numId="4" w16cid:durableId="62392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D1"/>
    <w:rsid w:val="0016432C"/>
    <w:rsid w:val="0025766F"/>
    <w:rsid w:val="004B0316"/>
    <w:rsid w:val="006456A3"/>
    <w:rsid w:val="006908CF"/>
    <w:rsid w:val="00762FD1"/>
    <w:rsid w:val="007A5C89"/>
    <w:rsid w:val="007D470E"/>
    <w:rsid w:val="007E2B6C"/>
    <w:rsid w:val="00961675"/>
    <w:rsid w:val="009C4FEB"/>
    <w:rsid w:val="00A31D10"/>
    <w:rsid w:val="00D73F23"/>
    <w:rsid w:val="00D7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4EA4"/>
  <w15:chartTrackingRefBased/>
  <w15:docId w15:val="{DCB76A8B-57DA-433F-ADCF-E4685E3B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976</Words>
  <Characters>4934</Characters>
  <Application>Microsoft Office Word</Application>
  <DocSecurity>0</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Baker</dc:creator>
  <cp:keywords/>
  <dc:description/>
  <cp:lastModifiedBy>Elliot Flitman</cp:lastModifiedBy>
  <cp:revision>4</cp:revision>
  <dcterms:created xsi:type="dcterms:W3CDTF">2026-03-17T16:59:00Z</dcterms:created>
  <dcterms:modified xsi:type="dcterms:W3CDTF">2026-03-24T15:00:00Z</dcterms:modified>
</cp:coreProperties>
</file>